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EF30" w14:textId="77777777" w:rsidR="008214B9" w:rsidRDefault="008214B9" w:rsidP="008214B9">
      <w:pPr>
        <w:pBdr>
          <w:bottom w:val="single" w:sz="4" w:space="1" w:color="auto"/>
        </w:pBdr>
        <w:spacing w:after="0" w:line="240" w:lineRule="auto"/>
        <w:ind w:right="227"/>
        <w:jc w:val="both"/>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1CECB" w14:textId="77777777" w:rsidR="008214B9" w:rsidRDefault="008214B9" w:rsidP="008214B9">
      <w:pPr>
        <w:pBdr>
          <w:bottom w:val="single" w:sz="4" w:space="1" w:color="auto"/>
        </w:pBdr>
        <w:spacing w:after="0" w:line="240" w:lineRule="auto"/>
        <w:ind w:right="227"/>
        <w:jc w:val="both"/>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0BEDB" w14:textId="77777777" w:rsidR="008214B9" w:rsidRDefault="008214B9" w:rsidP="008214B9">
      <w:pPr>
        <w:pBdr>
          <w:bottom w:val="single" w:sz="4" w:space="1" w:color="auto"/>
        </w:pBdr>
        <w:spacing w:after="0" w:line="240" w:lineRule="auto"/>
        <w:ind w:right="227"/>
        <w:jc w:val="both"/>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3B096" w14:textId="77777777" w:rsidR="00A63AC7" w:rsidRDefault="00A63AC7" w:rsidP="008D5203">
      <w:pPr>
        <w:pBdr>
          <w:bottom w:val="single" w:sz="4" w:space="1" w:color="auto"/>
        </w:pBdr>
        <w:spacing w:after="0" w:line="240" w:lineRule="auto"/>
        <w:ind w:right="227"/>
        <w:jc w:val="both"/>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2BBD81" w14:textId="29186146" w:rsidR="00A63AC7" w:rsidRPr="00C87794" w:rsidRDefault="00FA7149" w:rsidP="00A63AC7">
      <w:pPr>
        <w:pBdr>
          <w:bottom w:val="single" w:sz="4" w:space="1" w:color="auto"/>
        </w:pBdr>
        <w:spacing w:after="0" w:line="240" w:lineRule="auto"/>
        <w:ind w:right="227"/>
        <w:jc w:val="both"/>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BASIN BÜLTENİ </w:t>
      </w: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94E06">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3AC7"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63AC7"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63AC7"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63AC7"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A63AC7">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63AC7"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774F">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63AC7" w:rsidRPr="00C87794">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7A75">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HAZİRAN </w:t>
      </w:r>
      <w:r w:rsidR="00A63AC7">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0DFE">
        <w:rPr>
          <w:rFonts w:ascii="Candara" w:hAnsi="Candar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4A11B7A2" w14:textId="77777777" w:rsidR="00A63AC7" w:rsidRDefault="00A63AC7" w:rsidP="00A63AC7">
      <w:pPr>
        <w:pStyle w:val="ListeParagraf"/>
        <w:spacing w:after="0" w:line="276" w:lineRule="auto"/>
        <w:ind w:left="284"/>
        <w:jc w:val="both"/>
        <w:rPr>
          <w:rFonts w:ascii="Candara" w:hAnsi="Candara"/>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44F86D" w14:textId="77777777" w:rsidR="003F7CED" w:rsidRDefault="003F7CED" w:rsidP="00CE646D">
      <w:pPr>
        <w:pStyle w:val="ListeParagraf"/>
        <w:numPr>
          <w:ilvl w:val="0"/>
          <w:numId w:val="6"/>
        </w:numPr>
        <w:spacing w:after="0" w:line="276" w:lineRule="auto"/>
        <w:jc w:val="both"/>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CED">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 sanayisi Mavi Vatan’ın Rüzgârı için kümeleniyor </w:t>
      </w:r>
    </w:p>
    <w:p w14:paraId="32FE56F7" w14:textId="4AA9E00C" w:rsidR="008300AB" w:rsidRDefault="003F7CED" w:rsidP="00CE646D">
      <w:pPr>
        <w:pStyle w:val="ListeParagraf"/>
        <w:numPr>
          <w:ilvl w:val="0"/>
          <w:numId w:val="6"/>
        </w:numPr>
        <w:spacing w:after="0" w:line="276" w:lineRule="auto"/>
        <w:jc w:val="both"/>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Denizüstü RES’ler (dres) için hazırlanan sanayi envanterinin, 2035 hedefleri çerçevesinde güncellenmesi için ilk adım atıldı.</w:t>
      </w:r>
    </w:p>
    <w:p w14:paraId="03E9E9E1" w14:textId="0BFFB533" w:rsidR="008300AB" w:rsidRDefault="003F7CED" w:rsidP="00CE646D">
      <w:pPr>
        <w:pStyle w:val="ListeParagraf"/>
        <w:numPr>
          <w:ilvl w:val="0"/>
          <w:numId w:val="6"/>
        </w:numPr>
        <w:spacing w:after="0" w:line="276" w:lineRule="auto"/>
        <w:jc w:val="both"/>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nerji</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anayicileri ve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nsanları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erneği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(ENSİA) B</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aşkanı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lvan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ygün </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nbar:</w:t>
      </w:r>
    </w:p>
    <w:p w14:paraId="11BEBB32" w14:textId="76BB6F09" w:rsidR="00EA6589" w:rsidRPr="00EA6589" w:rsidRDefault="003F7CED" w:rsidP="00EA6589">
      <w:pPr>
        <w:pStyle w:val="ListeParagraf"/>
        <w:numPr>
          <w:ilvl w:val="0"/>
          <w:numId w:val="6"/>
        </w:numPr>
        <w:spacing w:after="0" w:line="276" w:lineRule="auto"/>
        <w:jc w:val="both"/>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EA6589">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ürkiye</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rüzgâr enerjisinde </w:t>
      </w:r>
      <w:r w:rsidRPr="00EA6589">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sahip olduğu güçlü ana ve yan sanayi altyapısı ile katma değer zincirinin her halkasında etkin olma</w:t>
      </w:r>
      <w:r>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lı”</w:t>
      </w:r>
    </w:p>
    <w:p w14:paraId="170F34EE" w14:textId="26A26D00" w:rsidR="00CE646D" w:rsidRPr="008300AB" w:rsidRDefault="003F7CED" w:rsidP="00CE646D">
      <w:pPr>
        <w:pStyle w:val="ListeParagraf"/>
        <w:numPr>
          <w:ilvl w:val="0"/>
          <w:numId w:val="6"/>
        </w:numPr>
        <w:spacing w:after="0" w:line="276" w:lineRule="auto"/>
        <w:jc w:val="both"/>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0AB">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“2035 yılı DRES kurulu güç hedefimiz, potansiyelimizin 15’te biri.”</w:t>
      </w:r>
    </w:p>
    <w:p w14:paraId="4ADE7A9C" w14:textId="77777777" w:rsidR="00CE646D" w:rsidRPr="00DF3673" w:rsidRDefault="00CE646D" w:rsidP="00CE646D">
      <w:pPr>
        <w:pStyle w:val="ListeParagraf"/>
        <w:spacing w:after="0" w:line="276" w:lineRule="auto"/>
        <w:jc w:val="both"/>
        <w:rPr>
          <w:rFonts w:ascii="Candara" w:hAnsi="Candara"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77961" w14:textId="3304E4F6" w:rsidR="008300AB" w:rsidRDefault="00DB28E1" w:rsidP="00CE646D">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Denizüstü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(offshore) </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rüzgâr enerjisinde sıfır noktasında olmasına rağmen 75 bin Megavat (MW) kurulu güç potansiyeli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bulunan </w:t>
      </w:r>
      <w:r w:rsidR="00CE646D"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Türkiye</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mavi vatanın enerjisinden yararlanmak için adımlarını hızlandırıyor. İlk aşamada 2035 yılı için 5 bin MW kurulu güç hedefi belirleyen Türkiye, karasal rüzg</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enerji santrallerinde 30 yıla yaklaşan üretim deneyimini, denizüstü </w:t>
      </w:r>
      <w:r w:rsidR="00EA6589">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rüzg</w:t>
      </w:r>
      <w:r w:rsidR="0070662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00EA6589">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enerjisi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santrallerin</w:t>
      </w:r>
      <w:r w:rsidR="00A35FF2">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6589">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(DRES)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yüksek yerlilik oranları ile inşa edilmesine aktaracak. </w:t>
      </w:r>
    </w:p>
    <w:p w14:paraId="751BDC0C" w14:textId="65413261" w:rsidR="008300AB" w:rsidRDefault="004D327A" w:rsidP="004D327A">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Enerji Sanayicileri ve İş İnsanları Derneği (ENSİA)</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Yönetim Kurulu Başkanı Elvan Aygün Anbar, ENSİA’nın yanı sıra </w:t>
      </w:r>
      <w:r w:rsidR="00CE646D"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Denizüstü Rüzgâr Enerjisi Derneği (DÜRED) ve Türkiye Gemi İnşa Sanayicileri Birliği’nin (GİSBİR) koordinasyonu</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E646D"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İzmir Kalkınma Ajansı’nın destekleriyle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ilk olarak 2024 yılında </w:t>
      </w:r>
      <w:r w:rsidR="00CE646D"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hazırlanan “Denizüstü Rüzgâr Enerjisi Yol Haritası ve Sanayi Envanteri”</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nin</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Cumhurbaşkanı Recep Tayyip Erdoğan tarafından açıklanan 2035 yılı hedefleri çerçevesinde güncellenec</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eğini belirtti. </w:t>
      </w:r>
    </w:p>
    <w:p w14:paraId="54A67FE9" w14:textId="77777777" w:rsidR="0070662B" w:rsidRDefault="0070662B" w:rsidP="004D327A">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179CAD" w14:textId="77777777" w:rsidR="0070662B" w:rsidRPr="00674D78" w:rsidRDefault="0070662B" w:rsidP="0070662B">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D78">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HEDEF, POTANSİYELİN 15’TE BİRİ </w:t>
      </w:r>
    </w:p>
    <w:p w14:paraId="382AB968" w14:textId="77777777" w:rsidR="0070662B" w:rsidRDefault="0070662B" w:rsidP="004D327A">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6D912F" w14:textId="0D80FD87" w:rsidR="004D327A" w:rsidRDefault="00CE646D" w:rsidP="004D327A">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Türkiye’de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denizüstü</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rüzg</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008300A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santrallerin</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üretiminde </w:t>
      </w: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görev alabilecek firmaları</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yetkinliklerini</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dokümante e</w:t>
      </w:r>
      <w:r w:rsidR="00A35FF2">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dilmesi </w:t>
      </w: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açısından kritik ön</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 taşı</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yan envanter çalışmasının kısa sürede güncellenerek kamuoyuna açıklanacağını kaydeden Anbar, Türkiye’nin bu alanda sahip olduğu güçlü ana ve yan sanayi altyapısı ile katma değer zincirinin her halkasında etkin olması gerektiğin</w:t>
      </w:r>
      <w:r w:rsidR="0070662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dikkat çekti</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AC4FB24" w14:textId="13EE04BC" w:rsidR="00EA6589" w:rsidRDefault="00CE646D" w:rsidP="00EA6589">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 </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karasal rüzgâ</w:t>
      </w:r>
      <w:r w:rsidRPr="00923A0F">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enerjisinde </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bin MW seviyesinde kurulu güce ulaştığı bilgisini veren Anbar, 2035 yılında kurulu gücün 45 bin MW’a ulaşacağını</w:t>
      </w:r>
      <w:r w:rsidR="0070662B">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hatırlattı</w:t>
      </w:r>
      <w:r w:rsidR="004D327A">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Denizüstü RES’lerin 2035 yılında ulaşacağı 5 bin MW kurulu gücü “sembolik” olarak tanımlayan Anbar, şu değerlendirmeyi yaptı: </w:t>
      </w:r>
    </w:p>
    <w:p w14:paraId="6ADE6C1E" w14:textId="77777777" w:rsidR="0070662B" w:rsidRDefault="0070662B" w:rsidP="0070662B">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37536" w14:textId="3DA48065" w:rsidR="0070662B" w:rsidRPr="00674D78" w:rsidRDefault="0070662B" w:rsidP="0070662B">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D78">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HEDEF, POTANSİYELİN 15’TE BİRİ </w:t>
      </w:r>
    </w:p>
    <w:p w14:paraId="4B67584E" w14:textId="77777777" w:rsidR="0070662B" w:rsidRDefault="0070662B" w:rsidP="0070662B">
      <w:p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6FD10" w14:textId="77777777" w:rsidR="00FD0186" w:rsidRDefault="00FD0186" w:rsidP="0070662B">
      <w:p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025AD" w14:textId="77777777" w:rsidR="0070662B" w:rsidRDefault="0070662B" w:rsidP="003B0C86">
      <w:pPr>
        <w:spacing w:after="0" w:line="276" w:lineRule="auto"/>
        <w:ind w:firstLine="360"/>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B70D4" w14:textId="77777777" w:rsidR="006B1775" w:rsidRDefault="006B1775" w:rsidP="003B0C86">
      <w:pPr>
        <w:spacing w:after="0" w:line="276" w:lineRule="auto"/>
        <w:ind w:firstLine="360"/>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C3BDAE" w14:textId="77777777" w:rsidR="0070662B" w:rsidRDefault="0070662B" w:rsidP="003B0C86">
      <w:pPr>
        <w:spacing w:after="0" w:line="276" w:lineRule="auto"/>
        <w:ind w:firstLine="360"/>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805B7" w14:textId="7616B9AB" w:rsidR="003B0C86" w:rsidRDefault="004D327A" w:rsidP="003B0C86">
      <w:pPr>
        <w:spacing w:after="0" w:line="276" w:lineRule="auto"/>
        <w:ind w:firstLine="360"/>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A6589"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Enerji ve Tabii Kaynaklar Bakanlığımız tarafından Saros, Gökçeada, Bozcaada ve Edremit bölgelerinde Türkiye’nin ilk denizüstü rüzgâr Yenilenebilir Enerji Kaynak Alanı (YEKA) aday sahaların</w:t>
      </w:r>
      <w:r w:rsidR="004175CA">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ın</w:t>
      </w:r>
      <w:r w:rsidR="00EA6589"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ilan edilmesiyle birlikte, Türkiye’de bu alanda önemli bir dönüşüm süreci yaşanıyor. Bu gelişme, ülkemizin yenilenebilir enerji hedeflerine ulaşması, yerli sanayinin güçlenmesi ve uluslararası rekabetçiliğinin artırılması açısından da kritik önem taşıyor.</w:t>
      </w:r>
    </w:p>
    <w:p w14:paraId="065A50B1" w14:textId="24606E66" w:rsidR="003B0C86" w:rsidRPr="003B0C86" w:rsidRDefault="003B0C86" w:rsidP="003B0C86">
      <w:pPr>
        <w:spacing w:after="0" w:line="276" w:lineRule="auto"/>
        <w:ind w:firstLine="360"/>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C86">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Çalışmamızla birlikte Türkiye’nin denizüstü rüzgâr enerjisi sanayi kapasitesini görünür kılıyor ve yerli tedarik zincirinin gelişimine katkı sağlıyoruz. Uluslararası yatırımcılar ve proje geliştiriciler için güvenilir bir referans kaynağı olan “Türkiye Denizüstü Rüzgâr Enerjisi Sanayi Envanteri” ile denizüstü rüzgâr enerjisi ekosistemindeki yerli katkı oranını da artırmayı amaçlıyoruz.</w:t>
      </w:r>
    </w:p>
    <w:p w14:paraId="5E5078BF" w14:textId="5A61F1A1" w:rsidR="00EA6589" w:rsidRDefault="00EA6589" w:rsidP="00EA6589">
      <w:pPr>
        <w:spacing w:after="0" w:line="276" w:lineRule="auto"/>
        <w:ind w:firstLine="360"/>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Karasal RES’lerde </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D327A"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yılda 1</w:t>
      </w:r>
      <w:r w:rsidR="004D327A"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 Megavat (MW) seviyesinde kurulu güce </w:t>
      </w:r>
      <w:r w:rsidR="004D327A"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bizi ulaştıran </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yatırımlar, dünyadaki sıralamamızı </w:t>
      </w:r>
      <w:r w:rsidR="004D327A"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altıncılığa </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taşıdı. </w:t>
      </w: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Mayıs ayı sonu itibarıyla 125 bin 478 MW’a ulaşan t</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oplam kurulu gücümüzün yüzde 1</w:t>
      </w: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ünü</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rüzgâr enerjisinden karşılıyoruz. Ancak denizüstü rüzgâr enerjisinde henüz sıfır noktasında olduğumuz gerçeğini de unutmuyoruz. Rüzgâr enerjisinde 2035 yılında </w:t>
      </w: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45 </w:t>
      </w:r>
      <w:r w:rsidR="00CE646D"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bin MW seviyesine ulaşacağız ve bu kurulu güç içerisinde denizüstü rüzgâr sadece 5 bin MW seviyesinde pay alacak. Bu hedef, Türkiye’nin keşfi yapılmış denizüstü rüzgâr enerjisi potansiyelinin 15’te birine karşılık geliyor.</w:t>
      </w: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7127" w:rsidRPr="00C37127">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 potansiyelin doğru yönlendirilmesine katkı sunmasını arzuladığımız envanter çalışmamızda</w:t>
      </w:r>
      <w:r w:rsidRPr="00EA6589">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Deniz Araştırmaları, Deniz İnşaat Mühendisliği, Yüzer Temel Üretimi, Rüzgâr Türbini Üretimi, Kule Üretimi, Türbin Aksam Üretimi, Kompozit Üretimi, Sertifikasyon, Üniversiteler ve Araştırma Kurumları gibi başlıklarda onlarca şirket ve kuruluşun bilgileri yer alacak.”</w:t>
      </w:r>
    </w:p>
    <w:p w14:paraId="31F26677" w14:textId="77777777" w:rsidR="00EA6589" w:rsidRDefault="00EA6589" w:rsidP="00EA6589">
      <w:pPr>
        <w:spacing w:after="0" w:line="276" w:lineRule="auto"/>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871B73" w14:textId="457ECA77" w:rsidR="00EA6589" w:rsidRPr="00674D78" w:rsidRDefault="00EA6589" w:rsidP="00EA6589">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D78">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İZMİR, CİRONUN %85’İNİ KARŞILIYOR</w:t>
      </w:r>
    </w:p>
    <w:p w14:paraId="4A7BA573" w14:textId="77777777" w:rsidR="00EA6589" w:rsidRPr="00EA6589" w:rsidRDefault="00EA6589" w:rsidP="00EA6589">
      <w:pPr>
        <w:spacing w:after="0" w:line="276" w:lineRule="auto"/>
        <w:jc w:val="both"/>
        <w:rPr>
          <w:rFonts w:ascii="Candara" w:hAnsi="Candara"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A4F63" w14:textId="2F80FE90" w:rsidR="00EA6589" w:rsidRPr="00EA6589" w:rsidRDefault="00EA6589" w:rsidP="00A0251B">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6589">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İzmir'de rüzgâr endüstrisinde faaliyet gösteren firmaların, Türk rüzgâr endüstrisinin toplam cirosunun yüzde 85’ini oluşturduğunu anımsatan ENSİA Başkanı Anbar, Çandarlı Limanı ve geri besleme sahasının DRES’lerin üretimine odaklanan bir yapı ile kurgulanmasının, Türkiye’nin bu alanda dünyanın en önemli üretim ve ihracat merkezi olmasını sağlayacağını vurguladı. Anbar, rüzg</w:t>
      </w:r>
      <w:r>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w:t>
      </w:r>
      <w:r w:rsidRPr="00EA6589">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endüstrisinin Sanayi ve Teknoloji Bakanlığı’nın bu vizyonuna inandığını ve desteklediğini sözlerine ekledi.</w:t>
      </w:r>
    </w:p>
    <w:p w14:paraId="546DC4F8" w14:textId="77777777" w:rsidR="00EA6589" w:rsidRDefault="00EA6589" w:rsidP="00EA6589">
      <w:pPr>
        <w:spacing w:after="0" w:line="276" w:lineRule="auto"/>
        <w:ind w:firstLine="360"/>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78053" w14:textId="77777777" w:rsidR="00CE646D" w:rsidRPr="009C7912" w:rsidRDefault="00CE646D" w:rsidP="00CE646D">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7912">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KUTU</w:t>
      </w:r>
    </w:p>
    <w:p w14:paraId="15B2D89B" w14:textId="77777777" w:rsidR="00CE646D" w:rsidRDefault="00CE646D" w:rsidP="00CE646D">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KARASAL RES’LERE GÖRE </w:t>
      </w:r>
    </w:p>
    <w:p w14:paraId="092C6DBB" w14:textId="77777777" w:rsidR="00CE646D" w:rsidRDefault="00CE646D" w:rsidP="00CE646D">
      <w:pPr>
        <w:spacing w:after="0" w:line="276" w:lineRule="auto"/>
        <w:jc w:val="both"/>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cs="Times New Roman"/>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KAT FAZLA İSTİHDAM </w:t>
      </w:r>
    </w:p>
    <w:p w14:paraId="087A53FD" w14:textId="77777777" w:rsidR="00CE646D" w:rsidRPr="009C7912" w:rsidRDefault="00CE646D" w:rsidP="00CE646D">
      <w:pPr>
        <w:pStyle w:val="selectionshareable"/>
        <w:shd w:val="clear" w:color="auto" w:fill="FFFFFF"/>
        <w:spacing w:before="0" w:beforeAutospacing="0" w:after="0" w:afterAutospacing="0" w:line="276" w:lineRule="auto"/>
        <w:ind w:left="360"/>
        <w:rPr>
          <w:rFonts w:ascii="Candara" w:eastAsiaTheme="minorHAnsi" w:hAnsi="Candara"/>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F4B519" w14:textId="77777777" w:rsidR="00CE646D" w:rsidRPr="009C603C" w:rsidRDefault="00CE646D" w:rsidP="00CE646D">
      <w:pPr>
        <w:pStyle w:val="ListeParagraf"/>
        <w:numPr>
          <w:ilvl w:val="0"/>
          <w:numId w:val="7"/>
        </w:num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03C">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Denizüstü RES’ler, başta kuzey Avrupa ülkeleri olmak üzere tüm gelişmiş ülkelerde uzun yıllardır sürdürülebilir enerji üretimi için kullanılıyor. </w:t>
      </w:r>
    </w:p>
    <w:p w14:paraId="61D47604" w14:textId="77777777" w:rsidR="00CE646D" w:rsidRDefault="00CE646D" w:rsidP="00CE646D">
      <w:pPr>
        <w:pStyle w:val="ListeParagraf"/>
        <w:numPr>
          <w:ilvl w:val="0"/>
          <w:numId w:val="7"/>
        </w:num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03C">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Ülkeler, deniz yetki alanları ve münhasır ekonomik bölgelerinin sınırlarını dünyaya ilan etmek için de DRES’lere stratejik bir önem atfediyor.</w:t>
      </w:r>
    </w:p>
    <w:p w14:paraId="4C0C90FD" w14:textId="77777777" w:rsidR="00FB57F9" w:rsidRDefault="00FB57F9" w:rsidP="00FB57F9">
      <w:p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F78389" w14:textId="77777777" w:rsidR="00FB57F9" w:rsidRDefault="00FB57F9" w:rsidP="00FB57F9">
      <w:p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F78C8F" w14:textId="77777777" w:rsidR="00FB57F9" w:rsidRPr="00FB57F9" w:rsidRDefault="00FB57F9" w:rsidP="00FB57F9">
      <w:p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C073E9" w14:textId="77777777" w:rsidR="00CE646D" w:rsidRDefault="00CE646D" w:rsidP="00CE646D">
      <w:pPr>
        <w:pStyle w:val="ListeParagraf"/>
        <w:numPr>
          <w:ilvl w:val="0"/>
          <w:numId w:val="7"/>
        </w:num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03C">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Pek çok sektöre sipariş veren büyük bir mekanizmaya sahip DRES’ler, karasal RES’lere göre on kat fazla istihdam sağlayabiliyor. </w:t>
      </w:r>
    </w:p>
    <w:p w14:paraId="55A10A4A" w14:textId="77777777" w:rsidR="00CE646D" w:rsidRPr="009C603C" w:rsidRDefault="00CE646D" w:rsidP="00CE646D">
      <w:pPr>
        <w:pStyle w:val="ListeParagraf"/>
        <w:numPr>
          <w:ilvl w:val="0"/>
          <w:numId w:val="7"/>
        </w:numPr>
        <w:spacing w:after="0" w:line="276" w:lineRule="auto"/>
        <w:jc w:val="both"/>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2020">
        <w:rPr>
          <w:rFonts w:ascii="Candara" w:hAnsi="Candara"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Türkiye’nin tersane sektöründe dünyanın en ileri ülkeleri arasında yer alması, denizüstü RES’lerin tüm ekipman üretimleri ve montajında ithalata bağımlılığını azaltıcı etkenler arasında yer alıyor. Bu avantaj, denizüstünde yapılacak tüm tesislerin mühendislik hesaplarının, tasarımlarının, Ar-Ge’lerinin ve inşaatlarının tamamıyla Türk şirketlerinin imkânları ile yerli olarak yapılmasını mümkün hâle getiriyor. </w:t>
      </w:r>
    </w:p>
    <w:sectPr w:rsidR="00CE646D" w:rsidRPr="009C60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9686" w14:textId="77777777" w:rsidR="00FE5715" w:rsidRDefault="00FE5715" w:rsidP="004F3D11">
      <w:pPr>
        <w:spacing w:after="0" w:line="240" w:lineRule="auto"/>
      </w:pPr>
      <w:r>
        <w:separator/>
      </w:r>
    </w:p>
  </w:endnote>
  <w:endnote w:type="continuationSeparator" w:id="0">
    <w:p w14:paraId="23615955" w14:textId="77777777" w:rsidR="00FE5715" w:rsidRDefault="00FE5715" w:rsidP="004F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FA4A" w14:textId="77777777" w:rsidR="004F3D11" w:rsidRDefault="004F3D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4E81" w14:textId="77777777" w:rsidR="004F3D11" w:rsidRDefault="004F3D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D18" w14:textId="77777777" w:rsidR="004F3D11" w:rsidRDefault="004F3D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1F1B9" w14:textId="77777777" w:rsidR="00FE5715" w:rsidRDefault="00FE5715" w:rsidP="004F3D11">
      <w:pPr>
        <w:spacing w:after="0" w:line="240" w:lineRule="auto"/>
      </w:pPr>
      <w:r>
        <w:separator/>
      </w:r>
    </w:p>
  </w:footnote>
  <w:footnote w:type="continuationSeparator" w:id="0">
    <w:p w14:paraId="1AD055D4" w14:textId="77777777" w:rsidR="00FE5715" w:rsidRDefault="00FE5715" w:rsidP="004F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0AD" w14:textId="54519B34" w:rsidR="004F3D11" w:rsidRDefault="00000000">
    <w:pPr>
      <w:pStyle w:val="stBilgi"/>
    </w:pPr>
    <w:r>
      <w:rPr>
        <w:noProof/>
      </w:rPr>
      <w:pict w14:anchorId="59BB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4" o:spid="_x0000_s1029" type="#_x0000_t75" style="position:absolute;margin-left:0;margin-top:0;width:595.45pt;height:841.9pt;z-index:-251657216;mso-position-horizontal:center;mso-position-horizontal-relative:margin;mso-position-vertical:center;mso-position-vertical-relative:margin" o:allowincell="f">
          <v:imagedata r:id="rId1" o:title="İBA Antetli Kağıt 2025"/>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AE98" w14:textId="1A6B1FA5" w:rsidR="004F3D11" w:rsidRDefault="00000000">
    <w:pPr>
      <w:pStyle w:val="stBilgi"/>
    </w:pPr>
    <w:r>
      <w:rPr>
        <w:noProof/>
      </w:rPr>
      <w:pict w14:anchorId="1AA9A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5" o:spid="_x0000_s1030" type="#_x0000_t75" style="position:absolute;margin-left:0;margin-top:0;width:595.45pt;height:841.9pt;z-index:-251656192;mso-position-horizontal:center;mso-position-horizontal-relative:margin;mso-position-vertical:center;mso-position-vertical-relative:margin" o:allowincell="f">
          <v:imagedata r:id="rId1" o:title="İBA Antetli Kağıt 2025"/>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C44B" w14:textId="754C0144" w:rsidR="004F3D11" w:rsidRDefault="00000000">
    <w:pPr>
      <w:pStyle w:val="stBilgi"/>
    </w:pPr>
    <w:r>
      <w:rPr>
        <w:noProof/>
      </w:rPr>
      <w:pict w14:anchorId="7FD97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093" o:spid="_x0000_s1028" type="#_x0000_t75" style="position:absolute;margin-left:0;margin-top:0;width:595.45pt;height:841.9pt;z-index:-251658240;mso-position-horizontal:center;mso-position-horizontal-relative:margin;mso-position-vertical:center;mso-position-vertical-relative:margin" o:allowincell="f">
          <v:imagedata r:id="rId1" o:title="İBA Antetli Kağıt 2025"/>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C57"/>
    <w:multiLevelType w:val="hybridMultilevel"/>
    <w:tmpl w:val="0A5E2B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8608C3"/>
    <w:multiLevelType w:val="hybridMultilevel"/>
    <w:tmpl w:val="95A8FA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6F25CF"/>
    <w:multiLevelType w:val="hybridMultilevel"/>
    <w:tmpl w:val="73109DD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CF5073"/>
    <w:multiLevelType w:val="hybridMultilevel"/>
    <w:tmpl w:val="F3F251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46378C"/>
    <w:multiLevelType w:val="hybridMultilevel"/>
    <w:tmpl w:val="46C8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BB5C43"/>
    <w:multiLevelType w:val="hybridMultilevel"/>
    <w:tmpl w:val="6E9A7D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11E04A3"/>
    <w:multiLevelType w:val="hybridMultilevel"/>
    <w:tmpl w:val="2F58AA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FD2C28"/>
    <w:multiLevelType w:val="hybridMultilevel"/>
    <w:tmpl w:val="8B0E01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2501587">
    <w:abstractNumId w:val="4"/>
  </w:num>
  <w:num w:numId="2" w16cid:durableId="985013590">
    <w:abstractNumId w:val="2"/>
  </w:num>
  <w:num w:numId="3" w16cid:durableId="859512326">
    <w:abstractNumId w:val="7"/>
  </w:num>
  <w:num w:numId="4" w16cid:durableId="1072004038">
    <w:abstractNumId w:val="3"/>
  </w:num>
  <w:num w:numId="5" w16cid:durableId="1068454500">
    <w:abstractNumId w:val="0"/>
  </w:num>
  <w:num w:numId="6" w16cid:durableId="111366823">
    <w:abstractNumId w:val="5"/>
  </w:num>
  <w:num w:numId="7" w16cid:durableId="1565411957">
    <w:abstractNumId w:val="6"/>
  </w:num>
  <w:num w:numId="8" w16cid:durableId="82092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11"/>
    <w:rsid w:val="00017209"/>
    <w:rsid w:val="00021DE6"/>
    <w:rsid w:val="00036EAA"/>
    <w:rsid w:val="00064787"/>
    <w:rsid w:val="00067BAF"/>
    <w:rsid w:val="000844C2"/>
    <w:rsid w:val="00085A53"/>
    <w:rsid w:val="00087409"/>
    <w:rsid w:val="00094E06"/>
    <w:rsid w:val="000A75A7"/>
    <w:rsid w:val="000C3E0D"/>
    <w:rsid w:val="000C58D1"/>
    <w:rsid w:val="000D1B88"/>
    <w:rsid w:val="000D6ADD"/>
    <w:rsid w:val="00100D46"/>
    <w:rsid w:val="00144554"/>
    <w:rsid w:val="00146B6B"/>
    <w:rsid w:val="00153FB7"/>
    <w:rsid w:val="00155B35"/>
    <w:rsid w:val="00172F31"/>
    <w:rsid w:val="00192DB9"/>
    <w:rsid w:val="001C63D4"/>
    <w:rsid w:val="001D4F01"/>
    <w:rsid w:val="00202E4D"/>
    <w:rsid w:val="00205B70"/>
    <w:rsid w:val="002116E1"/>
    <w:rsid w:val="00234A36"/>
    <w:rsid w:val="00236BC5"/>
    <w:rsid w:val="0024128C"/>
    <w:rsid w:val="00242B9E"/>
    <w:rsid w:val="0024693E"/>
    <w:rsid w:val="0027262E"/>
    <w:rsid w:val="0029707F"/>
    <w:rsid w:val="002B24A3"/>
    <w:rsid w:val="002C36F0"/>
    <w:rsid w:val="002C5285"/>
    <w:rsid w:val="002D438E"/>
    <w:rsid w:val="002E1F8D"/>
    <w:rsid w:val="003058CF"/>
    <w:rsid w:val="0032419B"/>
    <w:rsid w:val="00325928"/>
    <w:rsid w:val="00327A94"/>
    <w:rsid w:val="00336964"/>
    <w:rsid w:val="00341E42"/>
    <w:rsid w:val="003635DC"/>
    <w:rsid w:val="00363649"/>
    <w:rsid w:val="00372B3F"/>
    <w:rsid w:val="00385DE7"/>
    <w:rsid w:val="00396220"/>
    <w:rsid w:val="003B0C86"/>
    <w:rsid w:val="003C01AD"/>
    <w:rsid w:val="003D0121"/>
    <w:rsid w:val="003E2144"/>
    <w:rsid w:val="003F7CED"/>
    <w:rsid w:val="00404334"/>
    <w:rsid w:val="00412D4C"/>
    <w:rsid w:val="004175CA"/>
    <w:rsid w:val="00423EA5"/>
    <w:rsid w:val="00425C47"/>
    <w:rsid w:val="00462684"/>
    <w:rsid w:val="004B7E5A"/>
    <w:rsid w:val="004D327A"/>
    <w:rsid w:val="004D7462"/>
    <w:rsid w:val="004E3D0C"/>
    <w:rsid w:val="004F198B"/>
    <w:rsid w:val="004F3D11"/>
    <w:rsid w:val="00500355"/>
    <w:rsid w:val="0050774F"/>
    <w:rsid w:val="00533495"/>
    <w:rsid w:val="00547346"/>
    <w:rsid w:val="005939F9"/>
    <w:rsid w:val="00594883"/>
    <w:rsid w:val="005C6F2D"/>
    <w:rsid w:val="005D1775"/>
    <w:rsid w:val="005D754E"/>
    <w:rsid w:val="006032D5"/>
    <w:rsid w:val="00614937"/>
    <w:rsid w:val="00644E34"/>
    <w:rsid w:val="00655421"/>
    <w:rsid w:val="0068439E"/>
    <w:rsid w:val="00696032"/>
    <w:rsid w:val="00696143"/>
    <w:rsid w:val="006B09F1"/>
    <w:rsid w:val="006B1775"/>
    <w:rsid w:val="006E7CE7"/>
    <w:rsid w:val="006F018C"/>
    <w:rsid w:val="0070130A"/>
    <w:rsid w:val="0070662B"/>
    <w:rsid w:val="00724708"/>
    <w:rsid w:val="00734F61"/>
    <w:rsid w:val="00745E25"/>
    <w:rsid w:val="00765968"/>
    <w:rsid w:val="00776B07"/>
    <w:rsid w:val="00780BC4"/>
    <w:rsid w:val="0079141B"/>
    <w:rsid w:val="007A2E93"/>
    <w:rsid w:val="007B7AA1"/>
    <w:rsid w:val="007F12DE"/>
    <w:rsid w:val="007F2BEE"/>
    <w:rsid w:val="007F5383"/>
    <w:rsid w:val="00820B0B"/>
    <w:rsid w:val="008214B9"/>
    <w:rsid w:val="00823371"/>
    <w:rsid w:val="008300AB"/>
    <w:rsid w:val="00851B86"/>
    <w:rsid w:val="0085702B"/>
    <w:rsid w:val="00876188"/>
    <w:rsid w:val="008879E5"/>
    <w:rsid w:val="008A7746"/>
    <w:rsid w:val="008D5203"/>
    <w:rsid w:val="008E7368"/>
    <w:rsid w:val="008F269B"/>
    <w:rsid w:val="008F3C1C"/>
    <w:rsid w:val="00901AC0"/>
    <w:rsid w:val="00905A44"/>
    <w:rsid w:val="00917271"/>
    <w:rsid w:val="00917286"/>
    <w:rsid w:val="009309CC"/>
    <w:rsid w:val="00946731"/>
    <w:rsid w:val="00963DEA"/>
    <w:rsid w:val="00970DFE"/>
    <w:rsid w:val="0097479A"/>
    <w:rsid w:val="00975E38"/>
    <w:rsid w:val="009A2061"/>
    <w:rsid w:val="009A37A7"/>
    <w:rsid w:val="009B622F"/>
    <w:rsid w:val="009C02B1"/>
    <w:rsid w:val="009D1681"/>
    <w:rsid w:val="009D3D94"/>
    <w:rsid w:val="009E2A95"/>
    <w:rsid w:val="009E56C1"/>
    <w:rsid w:val="00A0251B"/>
    <w:rsid w:val="00A2103C"/>
    <w:rsid w:val="00A25C8B"/>
    <w:rsid w:val="00A31B43"/>
    <w:rsid w:val="00A352CA"/>
    <w:rsid w:val="00A35FF2"/>
    <w:rsid w:val="00A4717B"/>
    <w:rsid w:val="00A63AC7"/>
    <w:rsid w:val="00A67DA3"/>
    <w:rsid w:val="00A81E7F"/>
    <w:rsid w:val="00A847A4"/>
    <w:rsid w:val="00A96D9E"/>
    <w:rsid w:val="00AB7622"/>
    <w:rsid w:val="00B03D5F"/>
    <w:rsid w:val="00B060B5"/>
    <w:rsid w:val="00B20C1D"/>
    <w:rsid w:val="00B414CB"/>
    <w:rsid w:val="00B46752"/>
    <w:rsid w:val="00B56432"/>
    <w:rsid w:val="00BB2A95"/>
    <w:rsid w:val="00BC62CA"/>
    <w:rsid w:val="00BD50E3"/>
    <w:rsid w:val="00BE1D58"/>
    <w:rsid w:val="00BF3B74"/>
    <w:rsid w:val="00C23722"/>
    <w:rsid w:val="00C31707"/>
    <w:rsid w:val="00C31F78"/>
    <w:rsid w:val="00C37127"/>
    <w:rsid w:val="00C5444A"/>
    <w:rsid w:val="00C57076"/>
    <w:rsid w:val="00C65F0D"/>
    <w:rsid w:val="00C77BEA"/>
    <w:rsid w:val="00C80343"/>
    <w:rsid w:val="00C8123F"/>
    <w:rsid w:val="00C84D46"/>
    <w:rsid w:val="00CA329B"/>
    <w:rsid w:val="00CB6339"/>
    <w:rsid w:val="00CC0E19"/>
    <w:rsid w:val="00CC1CB5"/>
    <w:rsid w:val="00CE646D"/>
    <w:rsid w:val="00CF703C"/>
    <w:rsid w:val="00D617E8"/>
    <w:rsid w:val="00D66EE0"/>
    <w:rsid w:val="00D730A2"/>
    <w:rsid w:val="00D8112D"/>
    <w:rsid w:val="00D86A72"/>
    <w:rsid w:val="00DB0348"/>
    <w:rsid w:val="00DB28E1"/>
    <w:rsid w:val="00DD2D3A"/>
    <w:rsid w:val="00DF3FC5"/>
    <w:rsid w:val="00E309A0"/>
    <w:rsid w:val="00E336EB"/>
    <w:rsid w:val="00E3444D"/>
    <w:rsid w:val="00E37E2F"/>
    <w:rsid w:val="00E403C2"/>
    <w:rsid w:val="00E92D72"/>
    <w:rsid w:val="00E96012"/>
    <w:rsid w:val="00EA6589"/>
    <w:rsid w:val="00ED3741"/>
    <w:rsid w:val="00F141A7"/>
    <w:rsid w:val="00F27656"/>
    <w:rsid w:val="00F32065"/>
    <w:rsid w:val="00F35231"/>
    <w:rsid w:val="00F37A75"/>
    <w:rsid w:val="00F444E1"/>
    <w:rsid w:val="00F62389"/>
    <w:rsid w:val="00F75A8B"/>
    <w:rsid w:val="00F801F7"/>
    <w:rsid w:val="00F971FA"/>
    <w:rsid w:val="00FA7149"/>
    <w:rsid w:val="00FB57F9"/>
    <w:rsid w:val="00FD0186"/>
    <w:rsid w:val="00FD087A"/>
    <w:rsid w:val="00FD1EE5"/>
    <w:rsid w:val="00FD4195"/>
    <w:rsid w:val="00FE5715"/>
    <w:rsid w:val="00FF0966"/>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4587"/>
  <w15:chartTrackingRefBased/>
  <w15:docId w15:val="{71B96F45-6DED-4FA0-A76B-7FBE18CD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3D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3D11"/>
  </w:style>
  <w:style w:type="paragraph" w:styleId="AltBilgi">
    <w:name w:val="footer"/>
    <w:basedOn w:val="Normal"/>
    <w:link w:val="AltBilgiChar"/>
    <w:uiPriority w:val="99"/>
    <w:unhideWhenUsed/>
    <w:rsid w:val="004F3D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3D11"/>
  </w:style>
  <w:style w:type="paragraph" w:styleId="ListeParagraf">
    <w:name w:val="List Paragraph"/>
    <w:aliases w:val="içindekiler vb,OBC Bullet,L,Párrafo de lista,Normal number,List Paragraph (numbered (a)),Lapis Bulleted List,Dot pt,F5 List Paragraph,List Paragraph1,No Spacing1,List Paragraph Char Char Char,Indicator Text,Numbered Para 1,Bullet 1,?"/>
    <w:basedOn w:val="Normal"/>
    <w:link w:val="ListeParagrafChar"/>
    <w:uiPriority w:val="34"/>
    <w:qFormat/>
    <w:rsid w:val="008214B9"/>
    <w:pPr>
      <w:spacing w:line="256" w:lineRule="auto"/>
      <w:ind w:left="720"/>
      <w:contextualSpacing/>
    </w:pPr>
  </w:style>
  <w:style w:type="character" w:customStyle="1" w:styleId="ListeParagrafChar">
    <w:name w:val="Liste Paragraf Char"/>
    <w:aliases w:val="içindekiler vb Char,OBC Bullet Char,L Char,Párrafo de lista Char,Normal number Char,List Paragraph (numbered (a)) Char,Lapis Bulleted List Char,Dot pt Char,F5 List Paragraph Char,List Paragraph1 Char,No Spacing1 Char,Bullet 1 Char"/>
    <w:basedOn w:val="VarsaylanParagrafYazTipi"/>
    <w:link w:val="ListeParagraf"/>
    <w:uiPriority w:val="34"/>
    <w:rsid w:val="008214B9"/>
  </w:style>
  <w:style w:type="character" w:styleId="Kpr">
    <w:name w:val="Hyperlink"/>
    <w:basedOn w:val="VarsaylanParagrafYazTipi"/>
    <w:uiPriority w:val="99"/>
    <w:unhideWhenUsed/>
    <w:rsid w:val="001D4F01"/>
    <w:rPr>
      <w:color w:val="0563C1" w:themeColor="hyperlink"/>
      <w:u w:val="single"/>
    </w:rPr>
  </w:style>
  <w:style w:type="character" w:styleId="zmlenmeyenBahsetme">
    <w:name w:val="Unresolved Mention"/>
    <w:basedOn w:val="VarsaylanParagrafYazTipi"/>
    <w:uiPriority w:val="99"/>
    <w:semiHidden/>
    <w:unhideWhenUsed/>
    <w:rsid w:val="001D4F01"/>
    <w:rPr>
      <w:color w:val="605E5C"/>
      <w:shd w:val="clear" w:color="auto" w:fill="E1DFDD"/>
    </w:rPr>
  </w:style>
  <w:style w:type="paragraph" w:customStyle="1" w:styleId="selectionshareable">
    <w:name w:val="selectionshareable"/>
    <w:basedOn w:val="Normal"/>
    <w:rsid w:val="00CE6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83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811</Words>
  <Characters>4628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Aşkın Yalçın</dc:creator>
  <cp:keywords/>
  <dc:description/>
  <cp:lastModifiedBy>Serkan Aksüyek</cp:lastModifiedBy>
  <cp:revision>98</cp:revision>
  <dcterms:created xsi:type="dcterms:W3CDTF">2022-05-11T09:40:00Z</dcterms:created>
  <dcterms:modified xsi:type="dcterms:W3CDTF">2026-06-04T20:28:00Z</dcterms:modified>
</cp:coreProperties>
</file>